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0C8" w:rsidRDefault="00D2273C" w:rsidP="00D2273C">
      <w:pPr>
        <w:jc w:val="center"/>
      </w:pPr>
      <w:r>
        <w:rPr>
          <w:noProof/>
          <w:lang w:bidi="ar-SA"/>
        </w:rPr>
        <w:drawing>
          <wp:inline distT="0" distB="0" distL="0" distR="0">
            <wp:extent cx="4385310" cy="9074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310" cy="90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73C" w:rsidRDefault="00D2273C" w:rsidP="00D2273C">
      <w:pPr>
        <w:jc w:val="center"/>
        <w:rPr>
          <w:rStyle w:val="FontStyle72"/>
        </w:rPr>
      </w:pPr>
    </w:p>
    <w:p w:rsidR="00D2273C" w:rsidRDefault="00D2273C" w:rsidP="00D2273C">
      <w:pPr>
        <w:jc w:val="center"/>
      </w:pPr>
      <w:r>
        <w:rPr>
          <w:rStyle w:val="FontStyle72"/>
        </w:rPr>
        <w:t>ПОГРУЖНЫЕ НАСОСЫ</w:t>
      </w:r>
    </w:p>
    <w:p w:rsidR="00D2273C" w:rsidRDefault="00D2273C" w:rsidP="00D2273C">
      <w:pPr>
        <w:jc w:val="center"/>
      </w:pPr>
      <w:r>
        <w:rPr>
          <w:rStyle w:val="FontStyle74"/>
          <w:position w:val="-8"/>
        </w:rPr>
        <w:t>Серия: LIGHT</w:t>
      </w:r>
    </w:p>
    <w:p w:rsidR="00D2273C" w:rsidRDefault="00D2273C" w:rsidP="00D2273C">
      <w:pPr>
        <w:jc w:val="center"/>
      </w:pPr>
      <w:r>
        <w:rPr>
          <w:noProof/>
          <w:lang w:bidi="ar-SA"/>
        </w:rPr>
        <w:drawing>
          <wp:inline distT="0" distB="0" distL="0" distR="0">
            <wp:extent cx="3257252" cy="4158184"/>
            <wp:effectExtent l="19050" t="0" r="29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018" cy="415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73C" w:rsidRDefault="00D2273C" w:rsidP="00D2273C">
      <w:pPr>
        <w:jc w:val="center"/>
      </w:pPr>
    </w:p>
    <w:p w:rsidR="00D2273C" w:rsidRPr="009A0BEB" w:rsidRDefault="00D2273C" w:rsidP="00D2273C">
      <w:pPr>
        <w:jc w:val="center"/>
        <w:rPr>
          <w:b/>
        </w:rPr>
      </w:pPr>
      <w:r w:rsidRPr="009A0BEB">
        <w:rPr>
          <w:rStyle w:val="FontStyle75"/>
          <w:b/>
        </w:rPr>
        <w:t>ИНСТРУКЦИЯ ПО ЭКСПЛУАТАЦИИ</w:t>
      </w:r>
    </w:p>
    <w:p w:rsidR="00D2273C" w:rsidRDefault="00D2273C" w:rsidP="00D2273C">
      <w:pPr>
        <w:jc w:val="both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87"/>
        <w:gridCol w:w="4699"/>
      </w:tblGrid>
      <w:tr w:rsidR="00D2273C" w:rsidTr="00921C90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4"/>
              <w:widowControl/>
            </w:pPr>
          </w:p>
        </w:tc>
        <w:tc>
          <w:tcPr>
            <w:tcW w:w="46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5"/>
              <w:widowControl/>
              <w:rPr>
                <w:rStyle w:val="FontStyle111"/>
              </w:rPr>
            </w:pPr>
            <w:r>
              <w:rPr>
                <w:rStyle w:val="FontStyle111"/>
              </w:rPr>
              <w:t>Код док-та: LIG001 - ред. 0 - 09/2010</w:t>
            </w:r>
          </w:p>
        </w:tc>
      </w:tr>
      <w:tr w:rsidR="00D2273C" w:rsidRPr="00414DE9" w:rsidTr="00921C90">
        <w:tc>
          <w:tcPr>
            <w:tcW w:w="31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4"/>
              <w:widowControl/>
            </w:pPr>
          </w:p>
        </w:tc>
        <w:tc>
          <w:tcPr>
            <w:tcW w:w="4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Pr="00D07434" w:rsidRDefault="00D2273C" w:rsidP="00921C90">
            <w:pPr>
              <w:pStyle w:val="Style5"/>
              <w:widowControl/>
              <w:rPr>
                <w:rStyle w:val="FontStyle111"/>
                <w:lang w:val="en-US"/>
              </w:rPr>
            </w:pPr>
            <w:r w:rsidRPr="00D07434">
              <w:rPr>
                <w:rStyle w:val="FontStyle111"/>
                <w:lang w:val="en-US"/>
              </w:rPr>
              <w:t>FAGGIOLATI PUMPS S.P.A.</w:t>
            </w:r>
          </w:p>
        </w:tc>
      </w:tr>
      <w:tr w:rsidR="00D2273C" w:rsidTr="00921C90">
        <w:tc>
          <w:tcPr>
            <w:tcW w:w="31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Pr="00D07434" w:rsidRDefault="00D2273C" w:rsidP="00921C90">
            <w:pPr>
              <w:pStyle w:val="Style4"/>
              <w:widowControl/>
              <w:rPr>
                <w:lang w:val="en-US"/>
              </w:rPr>
            </w:pPr>
          </w:p>
        </w:tc>
        <w:tc>
          <w:tcPr>
            <w:tcW w:w="4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5"/>
              <w:widowControl/>
              <w:rPr>
                <w:rStyle w:val="FontStyle111"/>
              </w:rPr>
            </w:pPr>
            <w:proofErr w:type="spellStart"/>
            <w:r>
              <w:rPr>
                <w:rStyle w:val="FontStyle111"/>
              </w:rPr>
              <w:t>Z.Ind.Sforzacosta</w:t>
            </w:r>
            <w:proofErr w:type="spellEnd"/>
          </w:p>
        </w:tc>
      </w:tr>
      <w:tr w:rsidR="00D2273C" w:rsidTr="00921C90">
        <w:tc>
          <w:tcPr>
            <w:tcW w:w="31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4"/>
              <w:widowControl/>
            </w:pPr>
          </w:p>
        </w:tc>
        <w:tc>
          <w:tcPr>
            <w:tcW w:w="4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5"/>
              <w:widowControl/>
              <w:rPr>
                <w:rStyle w:val="FontStyle111"/>
              </w:rPr>
            </w:pPr>
            <w:r>
              <w:rPr>
                <w:rStyle w:val="FontStyle111"/>
              </w:rPr>
              <w:t xml:space="preserve">62100 </w:t>
            </w:r>
            <w:proofErr w:type="spellStart"/>
            <w:r>
              <w:rPr>
                <w:rStyle w:val="FontStyle111"/>
              </w:rPr>
              <w:t>Мачерата</w:t>
            </w:r>
            <w:proofErr w:type="spellEnd"/>
            <w:r>
              <w:rPr>
                <w:rStyle w:val="FontStyle111"/>
              </w:rPr>
              <w:t xml:space="preserve"> - ИТАЛИЯ</w:t>
            </w:r>
          </w:p>
        </w:tc>
      </w:tr>
      <w:tr w:rsidR="00D2273C" w:rsidTr="00921C90">
        <w:tc>
          <w:tcPr>
            <w:tcW w:w="31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4"/>
              <w:widowControl/>
            </w:pPr>
          </w:p>
        </w:tc>
        <w:tc>
          <w:tcPr>
            <w:tcW w:w="4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273C" w:rsidRDefault="00D2273C" w:rsidP="00921C90">
            <w:pPr>
              <w:pStyle w:val="Style5"/>
              <w:widowControl/>
              <w:rPr>
                <w:rStyle w:val="FontStyle111"/>
              </w:rPr>
            </w:pPr>
            <w:r>
              <w:rPr>
                <w:rStyle w:val="FontStyle111"/>
              </w:rPr>
              <w:t>Тел.: +39 0733 205601 - Факс: +39 0733 203258</w:t>
            </w:r>
          </w:p>
        </w:tc>
      </w:tr>
      <w:tr w:rsidR="00D2273C" w:rsidRPr="00414DE9" w:rsidTr="00921C90">
        <w:tc>
          <w:tcPr>
            <w:tcW w:w="31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3C" w:rsidRDefault="00D2273C" w:rsidP="00921C90">
            <w:pPr>
              <w:pStyle w:val="Style4"/>
              <w:widowControl/>
            </w:pPr>
          </w:p>
        </w:tc>
        <w:tc>
          <w:tcPr>
            <w:tcW w:w="4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3C" w:rsidRPr="00D07434" w:rsidRDefault="00D2273C" w:rsidP="00921C90">
            <w:pPr>
              <w:pStyle w:val="Style5"/>
              <w:widowControl/>
              <w:rPr>
                <w:rStyle w:val="FontStyle111"/>
                <w:lang w:val="en-US"/>
              </w:rPr>
            </w:pPr>
            <w:r>
              <w:rPr>
                <w:rStyle w:val="FontStyle111"/>
              </w:rPr>
              <w:t>Е</w:t>
            </w:r>
            <w:r w:rsidRPr="00D07434">
              <w:rPr>
                <w:rStyle w:val="FontStyle111"/>
                <w:lang w:val="en-US"/>
              </w:rPr>
              <w:t xml:space="preserve">-mail: </w:t>
            </w:r>
            <w:r w:rsidR="00302889">
              <w:fldChar w:fldCharType="begin"/>
            </w:r>
            <w:r w:rsidR="00302889" w:rsidRPr="00414DE9">
              <w:rPr>
                <w:lang w:val="en-US"/>
              </w:rPr>
              <w:instrText>HYPERLINK "mailto:faggiolatipumps@faggiolatipumps.com" \h</w:instrText>
            </w:r>
            <w:r w:rsidR="00302889">
              <w:fldChar w:fldCharType="separate"/>
            </w:r>
            <w:r w:rsidRPr="00D07434">
              <w:rPr>
                <w:rStyle w:val="a5"/>
                <w:rFonts w:ascii="Times New Roman" w:hAnsi="Times New Roman"/>
                <w:sz w:val="20"/>
                <w:lang w:val="en-US"/>
              </w:rPr>
              <w:t>faggiolatipumps@faggiolatipumps.com</w:t>
            </w:r>
            <w:r w:rsidR="00302889">
              <w:fldChar w:fldCharType="end"/>
            </w:r>
          </w:p>
        </w:tc>
      </w:tr>
    </w:tbl>
    <w:p w:rsidR="00D2273C" w:rsidRPr="00D07434" w:rsidRDefault="00D2273C">
      <w:pPr>
        <w:rPr>
          <w:lang w:val="en-US"/>
        </w:rPr>
      </w:pPr>
      <w:r w:rsidRPr="00D07434">
        <w:rPr>
          <w:lang w:val="en-US"/>
        </w:rPr>
        <w:br w:type="page"/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lastRenderedPageBreak/>
        <w:t>Содержание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2) Предупреждения и уведомления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3) Предупреждения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4) Область применения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5) Установка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6) Схемы электрических соединений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7) Пуск и эксплуатация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8) Техническое обслуживание и примечания</w:t>
      </w:r>
    </w:p>
    <w:p w:rsidR="0015090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9) Технические осмотры во время эксплуатации</w:t>
      </w:r>
    </w:p>
    <w:p w:rsidR="00D2273C" w:rsidRPr="00AE5F22" w:rsidRDefault="0015090C" w:rsidP="00AE5F22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10) Условия неправильной эксплуатации</w:t>
      </w:r>
    </w:p>
    <w:tbl>
      <w:tblPr>
        <w:tblStyle w:val="a6"/>
        <w:tblW w:w="0" w:type="auto"/>
        <w:tblLook w:val="04A0"/>
      </w:tblPr>
      <w:tblGrid>
        <w:gridCol w:w="4785"/>
      </w:tblGrid>
      <w:tr w:rsidR="0015090C" w:rsidRPr="00AE5F22" w:rsidTr="0015090C">
        <w:tc>
          <w:tcPr>
            <w:tcW w:w="4785" w:type="dxa"/>
          </w:tcPr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22">
              <w:rPr>
                <w:rFonts w:ascii="Times New Roman" w:hAnsi="Times New Roman"/>
                <w:b/>
                <w:sz w:val="18"/>
                <w:szCs w:val="18"/>
              </w:rPr>
              <w:t>ПРЕДУПРЕЖДЕНИЯ И УВЕДОМЛЕНИЯ</w: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ДЛЯ БЕЗОПАСНОСТИ ЖИЗНИ ЛЮДЕЙ, ОБЕСПЕЧИТЬ ЗАЩИТУ ЭЛЕКТРОНАСОСУ И УСТАНОВКЕ В ЦЕЛОМ</w:t>
            </w:r>
          </w:p>
        </w:tc>
      </w:tr>
      <w:tr w:rsidR="0015090C" w:rsidRPr="00AE5F22" w:rsidTr="0015090C">
        <w:tc>
          <w:tcPr>
            <w:tcW w:w="4785" w:type="dxa"/>
          </w:tcPr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22">
              <w:rPr>
                <w:rFonts w:ascii="Times New Roman" w:hAnsi="Times New Roman"/>
                <w:b/>
                <w:sz w:val="18"/>
                <w:szCs w:val="18"/>
              </w:rPr>
              <w:t>ВНИМАНИЕ: РИСК ПОРАЖЕНИЯ ЭЛЕКТРИЧЕСКИМ ТОКОМ</w: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sz w:val="18"/>
                <w:szCs w:val="18"/>
              </w:rPr>
              <w:object w:dxaOrig="1272" w:dyaOrig="11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.75pt;height:54.75pt" o:ole="">
                  <v:imagedata r:id="rId6" o:title=""/>
                </v:shape>
                <o:OLEObject Type="Embed" ProgID="PBrush" ShapeID="_x0000_i1025" DrawAspect="Content" ObjectID="_1494341376" r:id="rId7"/>
              </w:objec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НЕСОБЛЮДЕНИЕ УКАЗАНИЙ, СОДЕРЖАЩИХСЯ В НАСТОЯЩЕЙ ИНСТРУКЦИИ, ВЛЕЧЕТ ЗА СОБОЙ ВОЗНИКНОВЕНИЕ ОПАСНОСТИ ПОРАЖЕНИЯ ЭЛЕКТРИЧЕСКИМ ТОКОМ</w:t>
            </w:r>
          </w:p>
        </w:tc>
      </w:tr>
      <w:tr w:rsidR="0015090C" w:rsidRPr="00AE5F22" w:rsidTr="0015090C">
        <w:tc>
          <w:tcPr>
            <w:tcW w:w="4785" w:type="dxa"/>
          </w:tcPr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22">
              <w:rPr>
                <w:rFonts w:ascii="Times New Roman" w:hAnsi="Times New Roman"/>
                <w:b/>
                <w:sz w:val="18"/>
                <w:szCs w:val="18"/>
              </w:rPr>
              <w:t>ОПАСНО</w: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sz w:val="18"/>
                <w:szCs w:val="18"/>
              </w:rPr>
              <w:object w:dxaOrig="1128" w:dyaOrig="1032">
                <v:shape id="_x0000_i1026" type="#_x0000_t75" style="width:56.25pt;height:51.75pt" o:ole="">
                  <v:imagedata r:id="rId8" o:title=""/>
                </v:shape>
                <o:OLEObject Type="Embed" ProgID="PBrush" ShapeID="_x0000_i1026" DrawAspect="Content" ObjectID="_1494341377" r:id="rId9"/>
              </w:objec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НЕСОБЛЮДЕНИЕ УКАЗАНИЙ, СОДЕРЖАЩИХСЯ В НАСТОЯЩЕЙ ИНСТРУКЦИИ, ВЛЕЧЕТ ЗА СОБОЙ ВОЗНИКНОВЕНИЕ УЩЕРБА ЖИЗНИ И ЗДОРОВЬЮ ЛЮДЕЙ И/ИЛИ УТРАТЫ ИМУЩЕСТВА</w: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90C" w:rsidRPr="00AE5F22" w:rsidTr="0015090C">
        <w:tc>
          <w:tcPr>
            <w:tcW w:w="4785" w:type="dxa"/>
          </w:tcPr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22">
              <w:rPr>
                <w:rFonts w:ascii="Times New Roman" w:hAnsi="Times New Roman"/>
                <w:b/>
                <w:sz w:val="18"/>
                <w:szCs w:val="18"/>
              </w:rPr>
              <w:t>ВНИМАНИЕ</w: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sz w:val="18"/>
                <w:szCs w:val="18"/>
              </w:rPr>
              <w:object w:dxaOrig="1116" w:dyaOrig="1008">
                <v:shape id="_x0000_i1027" type="#_x0000_t75" style="width:56.25pt;height:50.25pt" o:ole="">
                  <v:imagedata r:id="rId10" o:title=""/>
                </v:shape>
                <o:OLEObject Type="Embed" ProgID="PBrush" ShapeID="_x0000_i1027" DrawAspect="Content" ObjectID="_1494341378" r:id="rId11"/>
              </w:objec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НЕСОБЛЮДЕНИЕ УКАЗАНИЙ, СОДЕРЖАЩИХСЯ В НАСТОЯЩЕЙ ИНСТРУКЦИИ, ВЛЕЧЕТ ЗА СОБОЙ ВОЗНИКНОВЕНИЕ УЩЕРБА ТЕХНИЧЕСКОЙ ЧАСТИ АГРЕГАТА И/ИЛИ УСТАНОВКИ</w:t>
            </w:r>
          </w:p>
          <w:p w:rsidR="0015090C" w:rsidRPr="00AE5F22" w:rsidRDefault="0015090C" w:rsidP="00AE5F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5F22" w:rsidRP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414DE9" w:rsidRDefault="00414DE9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414DE9" w:rsidRDefault="00414DE9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414DE9" w:rsidRDefault="00414DE9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414DE9" w:rsidRPr="00AE5F22" w:rsidRDefault="00414DE9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lastRenderedPageBreak/>
        <w:t>ПРЕДУПРЕЖДЕНИЯ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После получения электрического насоса убедитесь, что характеристики насоса, указанные в </w:t>
      </w:r>
      <w:proofErr w:type="spellStart"/>
      <w:r w:rsidRPr="00AE5F22">
        <w:rPr>
          <w:rFonts w:ascii="Times New Roman" w:hAnsi="Times New Roman"/>
          <w:sz w:val="18"/>
          <w:szCs w:val="18"/>
        </w:rPr>
        <w:t>шильдике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 на корпусе насоса, соответствуют Вашему заказу. Убедитесь в том, что насос не был поврежден в процессе перевозки, уделяя особое внимание электрическому кабелю и поплавковому переключателю.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Перед выполнением монтажа, пожалуйста, ознакомьтесь с инструкцией по эксплуатации и техническому обслуживанию. Гарантия считается недействительной в случае несоблюдения указаний, содержащихся в настоящей инструкции, и производитель не несет никакой ответственности в случае возникновения аварии.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sz w:val="18"/>
          <w:szCs w:val="18"/>
        </w:rPr>
        <w:object w:dxaOrig="1128" w:dyaOrig="1032">
          <v:shape id="_x0000_i1028" type="#_x0000_t75" style="width:56.25pt;height:51.75pt" o:ole="">
            <v:imagedata r:id="rId8" o:title=""/>
          </v:shape>
          <o:OLEObject Type="Embed" ProgID="PBrush" ShapeID="_x0000_i1028" DrawAspect="Content" ObjectID="_1494341379" r:id="rId12"/>
        </w:objec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Ни при каких обстоятельствах не поднимайте и не подвешивайте насос на электрическом кабеле.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Для перемещения и транспортировки насоса, используйте соответствующие крюки и рукоятки, смонтированные на насосе.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Запрещается использовать насос в пустом плавательном или садовом бассейнах при нахождении в них людей, поскольку это противоречит требованиям стандарта EN 60 335-2-60.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sz w:val="18"/>
          <w:szCs w:val="18"/>
        </w:rPr>
        <w:object w:dxaOrig="1116" w:dyaOrig="1008">
          <v:shape id="_x0000_i1029" type="#_x0000_t75" style="width:56.25pt;height:50.25pt" o:ole="">
            <v:imagedata r:id="rId10" o:title=""/>
          </v:shape>
          <o:OLEObject Type="Embed" ProgID="PBrush" ShapeID="_x0000_i1029" DrawAspect="Content" ObjectID="_1494341380" r:id="rId13"/>
        </w:objec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Запрещается дотрагиваться до работающего насоса руками.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Никогда не запускайте погружной насос без воды.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Даже кратковременный запуск всухую, может привести к немедленному выходу из строя всех гидравлических деталей насоса.</w:t>
      </w:r>
    </w:p>
    <w:p w:rsidR="0015090C" w:rsidRPr="00AE5F22" w:rsidRDefault="0015090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Электродвигатель насоса водонепроницаемый, заполнен нетоксичной смазочной и охлаждающей жидкостями.</w:t>
      </w:r>
    </w:p>
    <w:p w:rsidR="0015090C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РИС. 1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36"/>
        <w:gridCol w:w="5946"/>
      </w:tblGrid>
      <w:tr w:rsidR="005123D5" w:rsidRPr="00AE5F22" w:rsidTr="005123D5">
        <w:tc>
          <w:tcPr>
            <w:tcW w:w="4785" w:type="dxa"/>
          </w:tcPr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LVG - 1,5 кВт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E5F22">
              <w:rPr>
                <w:rFonts w:ascii="Times New Roman" w:hAnsi="Times New Roman"/>
                <w:sz w:val="18"/>
                <w:szCs w:val="18"/>
              </w:rPr>
              <w:t>Pr</w:t>
            </w:r>
            <w:proofErr w:type="spellEnd"/>
            <w:r w:rsidRPr="00AE5F22">
              <w:rPr>
                <w:rFonts w:ascii="Times New Roman" w:hAnsi="Times New Roman"/>
                <w:sz w:val="18"/>
                <w:szCs w:val="18"/>
              </w:rPr>
              <w:t xml:space="preserve"> = 770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D = 720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H1= 590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H2= 240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LVG/LDG/LVX - 1,1 кВт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E5F22">
              <w:rPr>
                <w:rFonts w:ascii="Times New Roman" w:hAnsi="Times New Roman"/>
                <w:sz w:val="18"/>
                <w:szCs w:val="18"/>
              </w:rPr>
              <w:t>Pr</w:t>
            </w:r>
            <w:proofErr w:type="spellEnd"/>
            <w:r w:rsidRPr="00AE5F22">
              <w:rPr>
                <w:rFonts w:ascii="Times New Roman" w:hAnsi="Times New Roman"/>
                <w:sz w:val="18"/>
                <w:szCs w:val="18"/>
              </w:rPr>
              <w:t xml:space="preserve"> = 750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D = 700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H1= 570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H2= 220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LVG/LDG/LVX - 0,58/0,9 кВт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E5F22">
              <w:rPr>
                <w:rFonts w:ascii="Times New Roman" w:hAnsi="Times New Roman"/>
                <w:sz w:val="18"/>
                <w:szCs w:val="18"/>
              </w:rPr>
              <w:t>Pr</w:t>
            </w:r>
            <w:proofErr w:type="spellEnd"/>
            <w:r w:rsidRPr="00AE5F22">
              <w:rPr>
                <w:rFonts w:ascii="Times New Roman" w:hAnsi="Times New Roman"/>
                <w:sz w:val="18"/>
                <w:szCs w:val="18"/>
              </w:rPr>
              <w:t xml:space="preserve"> = 500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D = 600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 xml:space="preserve">H1= 450 мм </w:t>
            </w:r>
          </w:p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H2= 200 мм</w:t>
            </w:r>
          </w:p>
        </w:tc>
        <w:tc>
          <w:tcPr>
            <w:tcW w:w="4786" w:type="dxa"/>
          </w:tcPr>
          <w:p w:rsidR="005123D5" w:rsidRPr="00AE5F22" w:rsidRDefault="005123D5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inline distT="0" distB="0" distL="0" distR="0">
                  <wp:extent cx="3610610" cy="2756535"/>
                  <wp:effectExtent l="19050" t="0" r="8890" b="0"/>
                  <wp:docPr id="2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610" cy="2756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22EC" w:rsidRPr="00AE5F22" w:rsidRDefault="007322E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sz w:val="18"/>
          <w:szCs w:val="18"/>
        </w:rPr>
        <w:br w:type="page"/>
      </w:r>
    </w:p>
    <w:p w:rsidR="0015090C" w:rsidRPr="00AE5F22" w:rsidRDefault="00F770CA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lastRenderedPageBreak/>
        <w:t>ОБЛАСТЬ ПРИМЕНЕНИЯ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30" type="#_x0000_t75" style="width:56.25pt;height:50.25pt" o:ole="">
            <v:imagedata r:id="rId10" o:title=""/>
          </v:shape>
          <o:OLEObject Type="Embed" ProgID="PBrush" ShapeID="_x0000_i1030" DrawAspect="Content" ObjectID="_1494341381" r:id="rId15"/>
        </w:objec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Серия электрических насосов LVG/LDG/LVX подходит для стационарного или подвесного монтажа.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Насосы серий LVG (Рис. А) и LVX (Рис. C) особенно подходят для удаления сточных вод при наличии в них взвеси твердых частиц при макс. диаметре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9"/>
        <w:gridCol w:w="2226"/>
      </w:tblGrid>
      <w:tr w:rsidR="00F770CA" w:rsidRPr="00AE5F22" w:rsidTr="00F770CA"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35 мм</w:t>
            </w:r>
          </w:p>
        </w:tc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LVG-06, LVX-06</w:t>
            </w:r>
          </w:p>
        </w:tc>
      </w:tr>
      <w:tr w:rsidR="00F770CA" w:rsidRPr="00AE5F22" w:rsidTr="00F770CA"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30 мм</w:t>
            </w:r>
          </w:p>
        </w:tc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LVG-09...-32, LVX-09</w:t>
            </w:r>
          </w:p>
        </w:tc>
      </w:tr>
      <w:tr w:rsidR="00F770CA" w:rsidRPr="00AE5F22" w:rsidTr="00F770CA"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40 мм</w:t>
            </w:r>
          </w:p>
        </w:tc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LVG-09...-50</w:t>
            </w:r>
            <w:r w:rsidRPr="00AE5F2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E5F22">
              <w:rPr>
                <w:rFonts w:ascii="Times New Roman" w:hAnsi="Times New Roman"/>
                <w:sz w:val="18"/>
                <w:szCs w:val="18"/>
              </w:rPr>
              <w:t>45 мм LVG-20</w:t>
            </w:r>
          </w:p>
        </w:tc>
      </w:tr>
      <w:tr w:rsidR="00F770CA" w:rsidRPr="00AE5F22" w:rsidTr="00F770CA"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50 мм</w:t>
            </w:r>
          </w:p>
        </w:tc>
        <w:tc>
          <w:tcPr>
            <w:tcW w:w="0" w:type="auto"/>
          </w:tcPr>
          <w:p w:rsidR="00F770CA" w:rsidRPr="00AE5F22" w:rsidRDefault="00F770CA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sz w:val="18"/>
                <w:szCs w:val="18"/>
              </w:rPr>
              <w:t>LVG-11, LVG-15, LVX-11</w:t>
            </w:r>
          </w:p>
        </w:tc>
      </w:tr>
    </w:tbl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Серия насосов LDG (Рис. В) особенно подходит для чистой воды, без биологических примесей.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31" type="#_x0000_t75" style="width:56.25pt;height:50.25pt" o:ole="">
            <v:imagedata r:id="rId10" o:title=""/>
          </v:shape>
          <o:OLEObject Type="Embed" ProgID="PBrush" ShapeID="_x0000_i1031" DrawAspect="Content" ObjectID="_1494341382" r:id="rId16"/>
        </w:objec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Запрещается превышать предельные значения, указанные ниже: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- Температура закачиваемой воды должна быть не более 40 °С.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- Число пусков через равные интервалы в час - не более 30.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- Глубина установки не более 8 метров.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- Значение подачи напряжения на двигатель не должно превышать 5% от значения, указанного на </w:t>
      </w:r>
      <w:proofErr w:type="spellStart"/>
      <w:r w:rsidRPr="00AE5F22">
        <w:rPr>
          <w:rFonts w:ascii="Times New Roman" w:hAnsi="Times New Roman"/>
          <w:sz w:val="18"/>
          <w:szCs w:val="18"/>
        </w:rPr>
        <w:t>шильдике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 корпуса насоса.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- Положение эксплуатации: только вертикальное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28" w:dyaOrig="1032">
          <v:shape id="_x0000_i1032" type="#_x0000_t75" style="width:56.25pt;height:51.75pt" o:ole="">
            <v:imagedata r:id="rId8" o:title=""/>
          </v:shape>
          <o:OLEObject Type="Embed" ProgID="PBrush" ShapeID="_x0000_i1032" DrawAspect="Content" ObjectID="_1494341383" r:id="rId17"/>
        </w:objec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Не используйте насос для таких огнеопасных или взрывоопасных жидкостей, как нефть, бензин, керосин, кислоты и т.д. ... и/или во взрывоопасных средах.</w:t>
      </w:r>
    </w:p>
    <w:p w:rsidR="00F770CA" w:rsidRPr="00AE5F22" w:rsidRDefault="00F770CA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noProof/>
          <w:sz w:val="18"/>
          <w:szCs w:val="18"/>
          <w:lang w:bidi="ar-SA"/>
        </w:rPr>
        <w:drawing>
          <wp:inline distT="0" distB="0" distL="0" distR="0">
            <wp:extent cx="3621773" cy="205881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970" cy="2060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9571" w:type="dxa"/>
        <w:tblLook w:val="04A0"/>
      </w:tblPr>
      <w:tblGrid>
        <w:gridCol w:w="4785"/>
        <w:gridCol w:w="4786"/>
      </w:tblGrid>
      <w:tr w:rsidR="00AA6E86" w:rsidRPr="00AE5F22" w:rsidTr="00AA6E86">
        <w:tc>
          <w:tcPr>
            <w:tcW w:w="4785" w:type="dxa"/>
          </w:tcPr>
          <w:p w:rsidR="00AA6E86" w:rsidRPr="00AE5F22" w:rsidRDefault="00AA6E86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FIG. A</w:t>
            </w:r>
          </w:p>
        </w:tc>
        <w:tc>
          <w:tcPr>
            <w:tcW w:w="4786" w:type="dxa"/>
          </w:tcPr>
          <w:p w:rsidR="00AA6E86" w:rsidRPr="00AE5F22" w:rsidRDefault="00AA6E86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РИС. A</w:t>
            </w:r>
          </w:p>
        </w:tc>
      </w:tr>
      <w:tr w:rsidR="00AA6E86" w:rsidRPr="00AE5F22" w:rsidTr="00AA6E86">
        <w:tc>
          <w:tcPr>
            <w:tcW w:w="4785" w:type="dxa"/>
          </w:tcPr>
          <w:p w:rsidR="00AA6E86" w:rsidRPr="00AE5F22" w:rsidRDefault="00AA6E86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FIG</w:t>
            </w: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</w:t>
            </w:r>
          </w:p>
        </w:tc>
        <w:tc>
          <w:tcPr>
            <w:tcW w:w="4786" w:type="dxa"/>
          </w:tcPr>
          <w:p w:rsidR="00AA6E86" w:rsidRPr="00AE5F22" w:rsidRDefault="00AA6E86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РИС</w:t>
            </w: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</w:t>
            </w:r>
          </w:p>
        </w:tc>
      </w:tr>
      <w:tr w:rsidR="00AA6E86" w:rsidRPr="00AE5F22" w:rsidTr="00AA6E86">
        <w:tc>
          <w:tcPr>
            <w:tcW w:w="4785" w:type="dxa"/>
          </w:tcPr>
          <w:p w:rsidR="00AA6E86" w:rsidRPr="00AE5F22" w:rsidRDefault="00AA6E86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FIG</w:t>
            </w: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</w:t>
            </w:r>
          </w:p>
        </w:tc>
        <w:tc>
          <w:tcPr>
            <w:tcW w:w="4786" w:type="dxa"/>
          </w:tcPr>
          <w:p w:rsidR="00AA6E86" w:rsidRPr="00AE5F22" w:rsidRDefault="00AA6E86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РИС</w:t>
            </w: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</w:t>
            </w:r>
          </w:p>
        </w:tc>
      </w:tr>
    </w:tbl>
    <w:p w:rsidR="00AE5F22" w:rsidRP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AE5F22" w:rsidRP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lastRenderedPageBreak/>
        <w:t>УСТАНОВКА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28" w:dyaOrig="1032">
          <v:shape id="_x0000_i1033" type="#_x0000_t75" style="width:56.25pt;height:51.75pt" o:ole="">
            <v:imagedata r:id="rId8" o:title=""/>
          </v:shape>
          <o:OLEObject Type="Embed" ProgID="PBrush" ShapeID="_x0000_i1033" DrawAspect="Content" ObjectID="_1494341384" r:id="rId19"/>
        </w:object>
      </w:r>
    </w:p>
    <w:p w:rsidR="00F770CA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Важно: запрещается в процессе установки поднимать или подвешивать насос за электрический кабель.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34" type="#_x0000_t75" style="width:56.25pt;height:50.25pt" o:ole="">
            <v:imagedata r:id="rId10" o:title=""/>
          </v:shape>
          <o:OLEObject Type="Embed" ProgID="PBrush" ShapeID="_x0000_i1034" DrawAspect="Content" ObjectID="_1494341385" r:id="rId20"/>
        </w:objec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Убедитесь, что колодец, резервуар или бассейн достаточно широки, чтобы в них можно было установить электрический насос, а уровень воды при этом достаточен для того, чтобы гарантировать правильное функционирование при ограниченном числе пусков в час. 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Перед установкой убедитесь, что колодец хорошо очищен от камней и прочих предметов, которые могут заблокировать внутренние поверхности насоса. 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Для корректной эксплуатации электрический насос следует располагать в нижней части колодца или же подвешивать на соответствующем канате (из прочного материала, например нейлона, нержавеющей стали и т.д.), закрепленном на рукоятке насоса. 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Во избежание чрезмерных потерь напора, рекомендуется использовать напорный трубопровод со сливным насосом того же диаметра.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28" w:dyaOrig="1032">
          <v:shape id="_x0000_i1035" type="#_x0000_t75" style="width:56.25pt;height:51.75pt" o:ole="">
            <v:imagedata r:id="rId8" o:title=""/>
          </v:shape>
          <o:OLEObject Type="Embed" ProgID="PBrush" ShapeID="_x0000_i1035" DrawAspect="Content" ObjectID="_1494341386" r:id="rId21"/>
        </w:objec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Для электрического насоса, оборудованного автоматическим поплавковым переключателем, убедитесь, что колодец достаточно широк, чтобы гарантировать корректную эксплуатацию насоса, а кабели не перегнуты или не защемлены, из-за чего насос может работать некорректно. 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Минимальные размеры колодца см. Рис.1. 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ПОДКЛЮЧЕНИЕ 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>ОДНОФАЗНОГО НАСОСА</w:t>
      </w: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noProof/>
          <w:sz w:val="18"/>
          <w:szCs w:val="18"/>
          <w:lang w:bidi="ar-SA"/>
        </w:rPr>
        <w:drawing>
          <wp:inline distT="0" distB="0" distL="0" distR="0">
            <wp:extent cx="5913755" cy="1682115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D07434" w:rsidRPr="00AE5F22" w:rsidTr="00D07434">
        <w:tc>
          <w:tcPr>
            <w:tcW w:w="4785" w:type="dxa"/>
          </w:tcPr>
          <w:p w:rsidR="00D07434" w:rsidRPr="00AE5F22" w:rsidRDefault="00D07434" w:rsidP="00AE5F22">
            <w:pPr>
              <w:rPr>
                <w:sz w:val="18"/>
                <w:szCs w:val="18"/>
                <w:lang w:val="en-US"/>
              </w:rPr>
            </w:pPr>
            <w:r w:rsidRPr="00AE5F22">
              <w:rPr>
                <w:sz w:val="18"/>
                <w:szCs w:val="18"/>
                <w:lang w:val="en-US"/>
              </w:rPr>
              <w:t>BLACK Line1</w:t>
            </w:r>
          </w:p>
        </w:tc>
        <w:tc>
          <w:tcPr>
            <w:tcW w:w="4786" w:type="dxa"/>
          </w:tcPr>
          <w:p w:rsidR="00D07434" w:rsidRPr="00AE5F22" w:rsidRDefault="00D07434" w:rsidP="00AE5F22">
            <w:pPr>
              <w:rPr>
                <w:sz w:val="18"/>
                <w:szCs w:val="18"/>
              </w:rPr>
            </w:pPr>
            <w:r w:rsidRPr="00AE5F22">
              <w:rPr>
                <w:sz w:val="18"/>
                <w:szCs w:val="18"/>
              </w:rPr>
              <w:t>Линия1 ЧЕРНОГО ЦВЕТА</w:t>
            </w:r>
          </w:p>
        </w:tc>
      </w:tr>
      <w:tr w:rsidR="00D07434" w:rsidRPr="00AE5F22" w:rsidTr="00D07434">
        <w:tc>
          <w:tcPr>
            <w:tcW w:w="4785" w:type="dxa"/>
          </w:tcPr>
          <w:p w:rsidR="00D07434" w:rsidRPr="00AE5F22" w:rsidRDefault="00D07434" w:rsidP="00AE5F22">
            <w:pPr>
              <w:rPr>
                <w:sz w:val="18"/>
                <w:szCs w:val="18"/>
                <w:lang w:val="en-US"/>
              </w:rPr>
            </w:pPr>
            <w:r w:rsidRPr="00AE5F22">
              <w:rPr>
                <w:sz w:val="18"/>
                <w:szCs w:val="18"/>
                <w:lang w:val="en-US"/>
              </w:rPr>
              <w:t>BROWN Line N</w:t>
            </w:r>
          </w:p>
        </w:tc>
        <w:tc>
          <w:tcPr>
            <w:tcW w:w="4786" w:type="dxa"/>
          </w:tcPr>
          <w:p w:rsidR="00D07434" w:rsidRPr="00AE5F22" w:rsidRDefault="00D07434" w:rsidP="00AE5F22">
            <w:pPr>
              <w:rPr>
                <w:sz w:val="18"/>
                <w:szCs w:val="18"/>
              </w:rPr>
            </w:pPr>
            <w:r w:rsidRPr="00AE5F22">
              <w:rPr>
                <w:sz w:val="18"/>
                <w:szCs w:val="18"/>
              </w:rPr>
              <w:t xml:space="preserve">Линия </w:t>
            </w:r>
            <w:r w:rsidRPr="00AE5F22">
              <w:rPr>
                <w:sz w:val="18"/>
                <w:szCs w:val="18"/>
                <w:lang w:val="en-US"/>
              </w:rPr>
              <w:t>N</w:t>
            </w:r>
            <w:r w:rsidRPr="00AE5F22">
              <w:rPr>
                <w:sz w:val="18"/>
                <w:szCs w:val="18"/>
              </w:rPr>
              <w:t xml:space="preserve"> КОРИЧНЕВОГО ЦВЕТА</w:t>
            </w:r>
          </w:p>
        </w:tc>
      </w:tr>
      <w:tr w:rsidR="00D07434" w:rsidRPr="00AE5F22" w:rsidTr="00D07434">
        <w:tc>
          <w:tcPr>
            <w:tcW w:w="4785" w:type="dxa"/>
          </w:tcPr>
          <w:p w:rsidR="00D07434" w:rsidRPr="00AE5F22" w:rsidRDefault="00D07434" w:rsidP="00AE5F22">
            <w:pPr>
              <w:rPr>
                <w:sz w:val="18"/>
                <w:szCs w:val="18"/>
                <w:lang w:val="en-US"/>
              </w:rPr>
            </w:pPr>
            <w:r w:rsidRPr="00AE5F22">
              <w:rPr>
                <w:sz w:val="18"/>
                <w:szCs w:val="18"/>
                <w:lang w:val="en-US"/>
              </w:rPr>
              <w:t>GREEN/YELLOW ground</w:t>
            </w:r>
          </w:p>
        </w:tc>
        <w:tc>
          <w:tcPr>
            <w:tcW w:w="4786" w:type="dxa"/>
          </w:tcPr>
          <w:p w:rsidR="00D07434" w:rsidRPr="00AE5F22" w:rsidRDefault="00D07434" w:rsidP="00AE5F22">
            <w:pPr>
              <w:rPr>
                <w:sz w:val="18"/>
                <w:szCs w:val="18"/>
              </w:rPr>
            </w:pPr>
            <w:r w:rsidRPr="00AE5F22">
              <w:rPr>
                <w:sz w:val="18"/>
                <w:szCs w:val="18"/>
              </w:rPr>
              <w:t>Провод заземления ЗЕЛЕНЫЙ/ЖЕЛТЫЙ</w:t>
            </w:r>
          </w:p>
        </w:tc>
      </w:tr>
    </w:tbl>
    <w:p w:rsidR="00D07434" w:rsidRPr="00AE5F22" w:rsidRDefault="00D07434" w:rsidP="00AE5F22">
      <w:pPr>
        <w:spacing w:line="240" w:lineRule="auto"/>
        <w:rPr>
          <w:sz w:val="18"/>
          <w:szCs w:val="18"/>
        </w:rPr>
      </w:pPr>
    </w:p>
    <w:p w:rsidR="00302C84" w:rsidRPr="00AE5F22" w:rsidRDefault="00302C8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sz w:val="18"/>
          <w:szCs w:val="18"/>
        </w:rPr>
        <w:br w:type="page"/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lastRenderedPageBreak/>
        <w:t xml:space="preserve">СХЕМЫ ЭЛЕКТРИЧЕСКИХ СОЕДИНЕНИЙ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sz w:val="18"/>
          <w:szCs w:val="18"/>
        </w:rPr>
        <w:object w:dxaOrig="1272" w:dyaOrig="1104">
          <v:shape id="_x0000_i1036" type="#_x0000_t75" style="width:63.75pt;height:54.75pt" o:ole="">
            <v:imagedata r:id="rId6" o:title=""/>
          </v:shape>
          <o:OLEObject Type="Embed" ProgID="PBrush" ShapeID="_x0000_i1036" DrawAspect="Content" ObjectID="_1494341387" r:id="rId23"/>
        </w:objec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Схемы электрических соединений должны выполняться надлежащим образом техническим персоналом, имеющим соответствующую квалификацию, согласно действующим правилам техники безопасности и стандартам.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28" w:dyaOrig="1032">
          <v:shape id="_x0000_i1037" type="#_x0000_t75" style="width:56.25pt;height:51.75pt" o:ole="">
            <v:imagedata r:id="rId8" o:title=""/>
          </v:shape>
          <o:OLEObject Type="Embed" ProgID="PBrush" ShapeID="_x0000_i1037" DrawAspect="Content" ObjectID="_1494341388" r:id="rId24"/>
        </w:objec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Убедитесь, что значения напряжения и частоты соответствуют значениям на </w:t>
      </w:r>
      <w:proofErr w:type="spellStart"/>
      <w:r w:rsidRPr="00AE5F22">
        <w:rPr>
          <w:rFonts w:ascii="Times New Roman" w:hAnsi="Times New Roman"/>
          <w:sz w:val="18"/>
          <w:szCs w:val="18"/>
        </w:rPr>
        <w:t>шильдике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 электронасоса.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sz w:val="18"/>
          <w:szCs w:val="18"/>
        </w:rPr>
        <w:object w:dxaOrig="1272" w:dyaOrig="1104">
          <v:shape id="_x0000_i1038" type="#_x0000_t75" style="width:63.75pt;height:54.75pt" o:ole="">
            <v:imagedata r:id="rId6" o:title=""/>
          </v:shape>
          <o:OLEObject Type="Embed" ProgID="PBrush" ShapeID="_x0000_i1038" DrawAspect="Content" ObjectID="_1494341389" r:id="rId25"/>
        </w:objec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Двигатель оборудован соответствующим нормам проводом заземления (желто-зеленого цвета), который при нагрузке и частотных характеристиках, определенных пользователем, должен быть всегда подключен к контурам, оснащенным проводом заземления.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Однофазные электронасосы оснащены </w:t>
      </w:r>
      <w:proofErr w:type="gramStart"/>
      <w:r w:rsidRPr="00AE5F22">
        <w:rPr>
          <w:rFonts w:ascii="Times New Roman" w:hAnsi="Times New Roman"/>
          <w:sz w:val="18"/>
          <w:szCs w:val="18"/>
        </w:rPr>
        <w:t>автоматическим</w:t>
      </w:r>
      <w:proofErr w:type="gramEnd"/>
      <w:r w:rsidRPr="00AE5F22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E5F22">
        <w:rPr>
          <w:rFonts w:ascii="Times New Roman" w:hAnsi="Times New Roman"/>
          <w:sz w:val="18"/>
          <w:szCs w:val="18"/>
        </w:rPr>
        <w:t>термовыключателем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Этот </w:t>
      </w:r>
      <w:proofErr w:type="spellStart"/>
      <w:r w:rsidRPr="00AE5F22">
        <w:rPr>
          <w:rFonts w:ascii="Times New Roman" w:hAnsi="Times New Roman"/>
          <w:sz w:val="18"/>
          <w:szCs w:val="18"/>
        </w:rPr>
        <w:t>термовыключатель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 позволяет предотвратить возможный перегрев, вызванный перегрузкой, засорением электронасоса, перепадом напряжения, блокировкой и т.д.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Если произвести останов насоса по причине его перегрева, он запустится автоматически по истечении 15 минут после охлаждения.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39" type="#_x0000_t75" style="width:56.25pt;height:50.25pt" o:ole="">
            <v:imagedata r:id="rId10" o:title=""/>
          </v:shape>
          <o:OLEObject Type="Embed" ProgID="PBrush" ShapeID="_x0000_i1039" DrawAspect="Content" ObjectID="_1494341390" r:id="rId26"/>
        </w:objec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В трехфазных электронасосах </w:t>
      </w:r>
      <w:proofErr w:type="spellStart"/>
      <w:r w:rsidRPr="00AE5F22">
        <w:rPr>
          <w:rFonts w:ascii="Times New Roman" w:hAnsi="Times New Roman"/>
          <w:sz w:val="18"/>
          <w:szCs w:val="18"/>
        </w:rPr>
        <w:t>термовыключатель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 регулируется пользователем: панель управления должна быть надлежащего качества, а также гарантировать достижение мощности для надлежащего функционирования насоса во временном интервале.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Комплект пусковой аппаратуры должен включать в себя: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Сетевой выключатель с плавкими предохранителями подходящего размера.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Электромагнитный пускатель с </w:t>
      </w:r>
      <w:proofErr w:type="spellStart"/>
      <w:r w:rsidRPr="00AE5F22">
        <w:rPr>
          <w:rFonts w:ascii="Times New Roman" w:hAnsi="Times New Roman"/>
          <w:sz w:val="18"/>
          <w:szCs w:val="18"/>
        </w:rPr>
        <w:t>термореле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, </w:t>
      </w:r>
      <w:proofErr w:type="gramStart"/>
      <w:r w:rsidRPr="00AE5F22">
        <w:rPr>
          <w:rFonts w:ascii="Times New Roman" w:hAnsi="Times New Roman"/>
          <w:sz w:val="18"/>
          <w:szCs w:val="18"/>
        </w:rPr>
        <w:t>рассчитанным</w:t>
      </w:r>
      <w:proofErr w:type="gramEnd"/>
      <w:r w:rsidRPr="00AE5F22">
        <w:rPr>
          <w:rFonts w:ascii="Times New Roman" w:hAnsi="Times New Roman"/>
          <w:sz w:val="18"/>
          <w:szCs w:val="18"/>
        </w:rPr>
        <w:t xml:space="preserve"> на мощность двигателя.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Минимальное реле напряжения для защиты от отсутствия фазы. </w: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40" type="#_x0000_t75" style="width:56.25pt;height:50.25pt" o:ole="">
            <v:imagedata r:id="rId10" o:title=""/>
          </v:shape>
          <o:OLEObject Type="Embed" ProgID="PBrush" ShapeID="_x0000_i1040" DrawAspect="Content" ObjectID="_1494341391" r:id="rId27"/>
        </w:object>
      </w:r>
    </w:p>
    <w:p w:rsidR="006A7F5E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Электрические насосы с трехфазным двигателем, работающие </w:t>
      </w:r>
      <w:proofErr w:type="gramStart"/>
      <w:r w:rsidRPr="00AE5F22">
        <w:rPr>
          <w:rFonts w:ascii="Times New Roman" w:hAnsi="Times New Roman"/>
          <w:sz w:val="18"/>
          <w:szCs w:val="18"/>
        </w:rPr>
        <w:t>с</w:t>
      </w:r>
      <w:proofErr w:type="gramEnd"/>
      <w:r w:rsidRPr="00AE5F22">
        <w:rPr>
          <w:rFonts w:ascii="Times New Roman" w:hAnsi="Times New Roman"/>
          <w:sz w:val="18"/>
          <w:szCs w:val="18"/>
        </w:rPr>
        <w:t xml:space="preserve"> или </w:t>
      </w:r>
      <w:proofErr w:type="gramStart"/>
      <w:r w:rsidRPr="00AE5F22">
        <w:rPr>
          <w:rFonts w:ascii="Times New Roman" w:hAnsi="Times New Roman"/>
          <w:sz w:val="18"/>
          <w:szCs w:val="18"/>
        </w:rPr>
        <w:t>без</w:t>
      </w:r>
      <w:proofErr w:type="gramEnd"/>
      <w:r w:rsidRPr="00AE5F22">
        <w:rPr>
          <w:rFonts w:ascii="Times New Roman" w:hAnsi="Times New Roman"/>
          <w:sz w:val="18"/>
          <w:szCs w:val="18"/>
        </w:rPr>
        <w:t xml:space="preserve"> автоматического поплавкового переключателя, должны быть всегда подключены к основной сети электропитания соответствующим блоком управления для предотвращения непредвиденных перегрузок. </w:t>
      </w:r>
    </w:p>
    <w:p w:rsidR="00302C84" w:rsidRPr="00AE5F22" w:rsidRDefault="006A7F5E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Органы управления и электрические соединения должны иметь </w:t>
      </w:r>
      <w:proofErr w:type="gramStart"/>
      <w:r w:rsidRPr="00AE5F22">
        <w:rPr>
          <w:rFonts w:ascii="Times New Roman" w:hAnsi="Times New Roman"/>
          <w:sz w:val="18"/>
          <w:szCs w:val="18"/>
        </w:rPr>
        <w:t>соответствующую</w:t>
      </w:r>
      <w:proofErr w:type="gramEnd"/>
      <w:r w:rsidRPr="00AE5F22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AE5F22">
        <w:rPr>
          <w:rFonts w:ascii="Times New Roman" w:hAnsi="Times New Roman"/>
          <w:sz w:val="18"/>
          <w:szCs w:val="18"/>
        </w:rPr>
        <w:t>влагозащиту</w:t>
      </w:r>
      <w:proofErr w:type="spellEnd"/>
      <w:r w:rsidRPr="00AE5F22">
        <w:rPr>
          <w:rFonts w:ascii="Times New Roman" w:hAnsi="Times New Roman"/>
          <w:sz w:val="18"/>
          <w:szCs w:val="18"/>
        </w:rPr>
        <w:t>.</w:t>
      </w:r>
    </w:p>
    <w:p w:rsidR="00705BBC" w:rsidRDefault="00705BBC" w:rsidP="00AE5F22">
      <w:pPr>
        <w:spacing w:line="240" w:lineRule="auto"/>
        <w:rPr>
          <w:rFonts w:ascii="Times New Roman" w:hAnsi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Если нужен длинный кабель электропитания, убедитесь, что он надлежащего качества и подходящего размера по отношению к его длине и мощности двигателя. </w:t>
      </w:r>
    </w:p>
    <w:p w:rsidR="00AE5F22" w:rsidRDefault="00AE5F22" w:rsidP="00AE5F22">
      <w:pPr>
        <w:spacing w:line="240" w:lineRule="auto"/>
        <w:rPr>
          <w:rFonts w:ascii="Times New Roman" w:hAnsi="Times New Roman"/>
          <w:sz w:val="18"/>
          <w:szCs w:val="18"/>
        </w:rPr>
      </w:pPr>
    </w:p>
    <w:p w:rsidR="00AE5F22" w:rsidRPr="00AE5F22" w:rsidRDefault="00AE5F22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41" type="#_x0000_t75" style="width:56.25pt;height:50.25pt" o:ole="">
            <v:imagedata r:id="rId10" o:title=""/>
          </v:shape>
          <o:OLEObject Type="Embed" ProgID="PBrush" ShapeID="_x0000_i1041" DrawAspect="Content" ObjectID="_1494341392" r:id="rId28"/>
        </w:objec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Кабельные соединения должны выполняться надлежащим образом техническим персоналом, имеющим соответствующую квалификацию, с использованием материалов, которые гарантируют обеспечение надлежащей изоляции проводов, </w:t>
      </w:r>
      <w:proofErr w:type="spellStart"/>
      <w:r w:rsidRPr="00AE5F22">
        <w:rPr>
          <w:rFonts w:ascii="Times New Roman" w:hAnsi="Times New Roman"/>
          <w:sz w:val="18"/>
          <w:szCs w:val="18"/>
        </w:rPr>
        <w:t>водо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- и воздухонепроницаемость с течением времени.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ПУСК И ЭКСПЛУАТАЦИЯ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Перед запуском электронасоса следует провести окончательную проверку электрооборудования и соответствующих значений мощности.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Запрещается дотрагиваться до работающего насоса руками.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Проверьте направление вращения.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Однофазные электронасосы всегда вращаются в правильном направлении.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Для проверки правильности направления вращения трехфазных электронасосов рекомендуется выполнить следующие действия: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- Перед погружением насоса, пожалуйста, убедитесь, что значение кратковременного импульса на направление вращения указано стрелкой на крышке (при условии эксплуатации в режиме повышенной безопасности).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- Для проверки правильности направления вращения, когда насос погружен в воду, убедитесь, что значение тока в амперах не превышает значений, указанных на </w:t>
      </w:r>
      <w:proofErr w:type="spellStart"/>
      <w:r w:rsidRPr="00AE5F22">
        <w:rPr>
          <w:rFonts w:ascii="Times New Roman" w:hAnsi="Times New Roman"/>
          <w:sz w:val="18"/>
          <w:szCs w:val="18"/>
        </w:rPr>
        <w:t>шильдике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. </w:t>
      </w: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ТРЕХФАЗНЫЙ ЭЛЕКТРОНАСОС </w:t>
      </w:r>
    </w:p>
    <w:p w:rsidR="00BF3A47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С автоматическим поплавковым переключателем</w:t>
      </w:r>
    </w:p>
    <w:p w:rsidR="00BF3A47" w:rsidRPr="00AE5F22" w:rsidRDefault="00BF3A4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705BBC" w:rsidRPr="00AE5F22" w:rsidRDefault="00705BBC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noProof/>
          <w:sz w:val="18"/>
          <w:szCs w:val="18"/>
          <w:lang w:bidi="ar-SA"/>
        </w:rPr>
        <w:drawing>
          <wp:inline distT="0" distB="0" distL="0" distR="0">
            <wp:extent cx="3691255" cy="2983230"/>
            <wp:effectExtent l="19050" t="0" r="444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298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D07434" w:rsidRPr="00AE5F22" w:rsidTr="00D07434">
        <w:tc>
          <w:tcPr>
            <w:tcW w:w="4785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FUSES</w:t>
            </w:r>
          </w:p>
        </w:tc>
        <w:tc>
          <w:tcPr>
            <w:tcW w:w="4786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>ПЛАВКИЕ ПРЕДОХРАНИТЕЛИ</w:t>
            </w:r>
          </w:p>
        </w:tc>
      </w:tr>
      <w:tr w:rsidR="00D07434" w:rsidRPr="00AE5F22" w:rsidTr="00D07434">
        <w:tc>
          <w:tcPr>
            <w:tcW w:w="4785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THERMAL PROTECTION</w:t>
            </w:r>
          </w:p>
        </w:tc>
        <w:tc>
          <w:tcPr>
            <w:tcW w:w="4786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>ТЕРМОВЫКЛЮЧАТЕЛЬ</w:t>
            </w:r>
          </w:p>
        </w:tc>
      </w:tr>
      <w:tr w:rsidR="00D07434" w:rsidRPr="00AE5F22" w:rsidTr="00D07434">
        <w:tc>
          <w:tcPr>
            <w:tcW w:w="4785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FLOAT SWITCH</w:t>
            </w:r>
          </w:p>
        </w:tc>
        <w:tc>
          <w:tcPr>
            <w:tcW w:w="4786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>ПОПЛАВКОВЫЙ ВЫКЛЮЧАТЕЛЬ</w:t>
            </w:r>
          </w:p>
        </w:tc>
      </w:tr>
      <w:tr w:rsidR="00D07434" w:rsidRPr="00AE5F22" w:rsidTr="00D07434">
        <w:tc>
          <w:tcPr>
            <w:tcW w:w="4785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MOTOR</w:t>
            </w:r>
          </w:p>
        </w:tc>
        <w:tc>
          <w:tcPr>
            <w:tcW w:w="4786" w:type="dxa"/>
          </w:tcPr>
          <w:p w:rsidR="00D07434" w:rsidRPr="00AE5F22" w:rsidRDefault="00D07434" w:rsidP="00AE5F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5F22">
              <w:rPr>
                <w:rFonts w:ascii="Times New Roman" w:hAnsi="Times New Roman" w:cs="Times New Roman"/>
                <w:sz w:val="18"/>
                <w:szCs w:val="18"/>
              </w:rPr>
              <w:t>ДВИГАТЕЛЬ</w:t>
            </w:r>
          </w:p>
        </w:tc>
      </w:tr>
    </w:tbl>
    <w:p w:rsidR="00D07434" w:rsidRPr="00AE5F22" w:rsidRDefault="00D07434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28" w:dyaOrig="1032">
          <v:shape id="_x0000_i1042" type="#_x0000_t75" style="width:56.25pt;height:51.75pt" o:ole="">
            <v:imagedata r:id="rId8" o:title=""/>
          </v:shape>
          <o:OLEObject Type="Embed" ProgID="PBrush" ShapeID="_x0000_i1042" DrawAspect="Content" ObjectID="_1494341393" r:id="rId30"/>
        </w:objec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Внимание: </w: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Запрещается засовывать руки или инструменты во всасывающий трубопровод насоса. Перед выполнением любой проверки убедитесь в отсутствии напряжения электропитания.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43" type="#_x0000_t75" style="width:56.25pt;height:50.25pt" o:ole="">
            <v:imagedata r:id="rId10" o:title=""/>
          </v:shape>
          <o:OLEObject Type="Embed" ProgID="PBrush" ShapeID="_x0000_i1043" DrawAspect="Content" ObjectID="_1494341394" r:id="rId31"/>
        </w:objec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При работающем двигателе убедитесь, что значение тока в амперах, не превышает значение, указанное на </w:t>
      </w:r>
      <w:proofErr w:type="spellStart"/>
      <w:r w:rsidRPr="00AE5F22">
        <w:rPr>
          <w:rFonts w:ascii="Times New Roman" w:hAnsi="Times New Roman"/>
          <w:sz w:val="18"/>
          <w:szCs w:val="18"/>
        </w:rPr>
        <w:t>шильдике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 насоса, напряжение питания в пределах макс. 5% от номинального значения. </w:t>
      </w:r>
    </w:p>
    <w:p w:rsidR="00705BBC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Установите реле защиты от перегрузок: его значение может быть ниже, но не выше значения, указанного на </w:t>
      </w:r>
      <w:proofErr w:type="spellStart"/>
      <w:r w:rsidRPr="00AE5F22">
        <w:rPr>
          <w:rFonts w:ascii="Times New Roman" w:hAnsi="Times New Roman"/>
          <w:sz w:val="18"/>
          <w:szCs w:val="18"/>
        </w:rPr>
        <w:t>шильдике</w:t>
      </w:r>
      <w:proofErr w:type="spellEnd"/>
      <w:r w:rsidRPr="00AE5F22">
        <w:rPr>
          <w:rFonts w:ascii="Times New Roman" w:hAnsi="Times New Roman"/>
          <w:sz w:val="18"/>
          <w:szCs w:val="18"/>
        </w:rPr>
        <w:t xml:space="preserve"> насоса.</w: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МОНТАЖ И ДЕМОНТАЖ </w: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(согласно </w:t>
      </w:r>
      <w:r w:rsidR="00AA6E86" w:rsidRPr="00AE5F22">
        <w:rPr>
          <w:rFonts w:ascii="Times New Roman" w:hAnsi="Times New Roman"/>
          <w:b/>
          <w:sz w:val="18"/>
          <w:szCs w:val="18"/>
        </w:rPr>
        <w:t xml:space="preserve">требованиям Директивы </w:t>
      </w:r>
      <w:r w:rsidRPr="00AE5F22">
        <w:rPr>
          <w:rFonts w:ascii="Times New Roman" w:hAnsi="Times New Roman"/>
          <w:b/>
          <w:sz w:val="18"/>
          <w:szCs w:val="18"/>
        </w:rPr>
        <w:t>CEE 89/392 п. 1.7.4.a)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16" w:dyaOrig="1008">
          <v:shape id="_x0000_i1044" type="#_x0000_t75" style="width:56.25pt;height:50.25pt" o:ole="">
            <v:imagedata r:id="rId10" o:title=""/>
          </v:shape>
          <o:OLEObject Type="Embed" ProgID="PBrush" ShapeID="_x0000_i1044" DrawAspect="Content" ObjectID="_1494341395" r:id="rId32"/>
        </w:objec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Поскольку электронасос не оснащен фитингами необходимость его сборки перед установкой отсутствует. </w: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В случае демонтажа (при необходимости) (при аварии или иных обстоятельствах), заказчику следует обратиться в предприятие розничной торговли или в сервисную службу.</w: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ТЕХНИЧЕСКОЕ ОБСЛУЖИВАНИЕ </w:t>
      </w:r>
    </w:p>
    <w:p w:rsidR="00501597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Проведения планового технического обслуживания не требуется, если электронасос эксплуатируется надлежащим образом с учетом условий нормальной эксплуатации. </w:t>
      </w:r>
    </w:p>
    <w:p w:rsidR="005123D5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Рекомендуется периодически проводить очистку колодца и регулятор уровня.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sz w:val="18"/>
          <w:szCs w:val="18"/>
        </w:rPr>
        <w:object w:dxaOrig="1272" w:dyaOrig="1104">
          <v:shape id="_x0000_i1045" type="#_x0000_t75" style="width:63.75pt;height:54.75pt" o:ole="">
            <v:imagedata r:id="rId6" o:title=""/>
          </v:shape>
          <o:OLEObject Type="Embed" ProgID="PBrush" ShapeID="_x0000_i1045" DrawAspect="Content" ObjectID="_1494341396" r:id="rId33"/>
        </w:object>
      </w:r>
    </w:p>
    <w:p w:rsidR="00AE5F22" w:rsidRPr="00AE5F22" w:rsidRDefault="00501597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В любом случае, перед проведением любых операций по управлению или техническому обслуживанию, убедитесь, что электропитание </w:t>
      </w:r>
      <w:proofErr w:type="gramStart"/>
      <w:r w:rsidRPr="00AE5F22">
        <w:rPr>
          <w:rFonts w:ascii="Times New Roman" w:hAnsi="Times New Roman"/>
          <w:sz w:val="18"/>
          <w:szCs w:val="18"/>
        </w:rPr>
        <w:t>отключено</w:t>
      </w:r>
      <w:proofErr w:type="gramEnd"/>
      <w:r w:rsidRPr="00AE5F22">
        <w:rPr>
          <w:rFonts w:ascii="Times New Roman" w:hAnsi="Times New Roman"/>
          <w:sz w:val="18"/>
          <w:szCs w:val="18"/>
        </w:rPr>
        <w:t xml:space="preserve"> и никто не может случайно подключить электропитание во время выполнения указанных операций.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ВАЖНЫЕ УКАЗАНИЯ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Электронасос серии LIGHT должен проходить тщательные испытания на каждой стадии производства и будет исправно работать в течение длительного времени с учетом выполнения всех изложенных в настоящей инструкции указаний.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Установка, использование и эксплуатация данного оборудования должны выполняться под ответственность организации, производящей его установку, в соответствии с действующими местным законодательством и правилами техники безопасности.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Неправильная установка и использование оборудования не по назначению приводят к сбою, чрезмерному износу и опасным повреждениям и ущербу оборудования.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Гарантия распространяется на все установленные производственные дефекты и является недействительной в случае использования оборудования не по назначению.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Гарантия не распространяется, если электронасос или такие его комплектующие, как кабели электропитания или поплавковый переключатель разбираются или модифицируются в течение гарантийного срока.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В случае повреждений в течение гарантийного срока электронасос следует возвратить предприятию-изготовителю или организации, ответственной за послепродажное обслуживание.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Для получения дополнительной информации, не учтенной в настоящей инструкции, или в случае возникновения вопросов по использованию данного оборудования в случаях, не предусмотренных настоящей инструкцией, пожалуйста, обратитесь в технический отдел нашей компании.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AE5F22" w:rsidRDefault="00AE5F22" w:rsidP="00AE5F22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lastRenderedPageBreak/>
        <w:t xml:space="preserve">ТЕХНИЧЕСКИЕ ОСМОТРЫ ВО ВРЕМЯ ЭКСПЛУАТАЦИИ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Изготовитель снимает с себя любую ответственность, за урон, нанесенный персоналу и/или за материальный ущерб, возникший в связи с проведением технического обслуживания неквалифицированным персоналом.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 w:cs="Times New Roman"/>
          <w:sz w:val="18"/>
          <w:szCs w:val="18"/>
        </w:rPr>
        <w:object w:dxaOrig="1128" w:dyaOrig="1032">
          <v:shape id="_x0000_i1046" type="#_x0000_t75" style="width:56.25pt;height:51.75pt" o:ole="">
            <v:imagedata r:id="rId8" o:title=""/>
          </v:shape>
          <o:OLEObject Type="Embed" ProgID="PBrush" ShapeID="_x0000_i1046" DrawAspect="Content" ObjectID="_1494341397" r:id="rId34"/>
        </w:objec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До проведения каких-либо операций по проверке или техническому обслуживанию, убедитесь, что контур обесточен, отключив напряжение электропитания.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 xml:space="preserve">- Периодически проверяйте насос и колодец, а также проводите очистку от накипи и других отложений, которые могут привести к снижению производительности насоса. </w:t>
      </w:r>
    </w:p>
    <w:p w:rsidR="00501597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- Проверяйте состояние износа кабелей и уплотнительных колец, особенно в точках их крепления.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E5F22">
        <w:rPr>
          <w:rFonts w:ascii="Times New Roman" w:hAnsi="Times New Roman"/>
          <w:b/>
          <w:sz w:val="18"/>
          <w:szCs w:val="18"/>
        </w:rPr>
        <w:t xml:space="preserve">УСЛОВИЯ НЕПРАВИЛЬНОЙ ЭКСПЛУАТАЦИИ </w:t>
      </w: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E5F22">
        <w:rPr>
          <w:rFonts w:ascii="Times New Roman" w:hAnsi="Times New Roman"/>
          <w:sz w:val="18"/>
          <w:szCs w:val="18"/>
        </w:rPr>
        <w:t>Особых случаев технического обслуживания насоса не предусмотрено. Тем не менее, в случае необходимости, все работы по техническому обслуживанию должны проводиться квалифицированным техническим персоналом.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3679"/>
        <w:gridCol w:w="3065"/>
        <w:gridCol w:w="3762"/>
      </w:tblGrid>
      <w:tr w:rsidR="005123D5" w:rsidRPr="00AE5F22" w:rsidTr="005123D5">
        <w:trPr>
          <w:trHeight w:val="1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НЕИСПРАВНОСТЬ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ВОЗМОЖНЫЕ ПРИЧИНЫ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РЕШЕНИЕ</w:t>
            </w:r>
          </w:p>
        </w:tc>
      </w:tr>
      <w:tr w:rsidR="005123D5" w:rsidRPr="00AE5F22" w:rsidTr="005123D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ДВИГАТЕЛЬ НЕ ЗАПУСКАЕТСЯ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на насос не подается ток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проверить линию и кабели электропитания</w:t>
            </w:r>
          </w:p>
        </w:tc>
      </w:tr>
      <w:tr w:rsidR="005123D5" w:rsidRPr="00AE5F22" w:rsidTr="005123D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проверить исправность плавких предохранителей, при необходимости заменить</w:t>
            </w:r>
          </w:p>
        </w:tc>
      </w:tr>
      <w:tr w:rsidR="005123D5" w:rsidRPr="00AE5F22" w:rsidTr="005123D5">
        <w:trPr>
          <w:trHeight w:val="2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напряжения недостаточно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убедитесь, что значения линейного напряжения</w:t>
            </w:r>
          </w:p>
        </w:tc>
      </w:tr>
      <w:tr w:rsidR="005123D5" w:rsidRPr="00AE5F22" w:rsidTr="005123D5">
        <w:trPr>
          <w:trHeight w:val="2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отличаются не более</w:t>
            </w:r>
            <w:proofErr w:type="gramStart"/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  <w:proofErr w:type="gramEnd"/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чем на 5% от номинальных значений на</w:t>
            </w:r>
          </w:p>
        </w:tc>
      </w:tr>
      <w:tr w:rsidR="005123D5" w:rsidRPr="00AE5F22" w:rsidTr="005123D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шильдике</w:t>
            </w:r>
            <w:proofErr w:type="spellEnd"/>
          </w:p>
        </w:tc>
      </w:tr>
      <w:tr w:rsidR="005123D5" w:rsidRPr="00AE5F22" w:rsidTr="005123D5">
        <w:trPr>
          <w:trHeight w:val="2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двигатель отказал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обратиться в сервисный центр</w:t>
            </w:r>
          </w:p>
        </w:tc>
      </w:tr>
      <w:tr w:rsidR="005123D5" w:rsidRPr="00AE5F22" w:rsidTr="005123D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блокировка рабочего колеса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обратиться в сервисный центр</w:t>
            </w:r>
          </w:p>
        </w:tc>
      </w:tr>
      <w:tr w:rsidR="005123D5" w:rsidRPr="00AE5F22" w:rsidTr="005123D5">
        <w:trPr>
          <w:trHeight w:val="22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поплавковый переключатель заблокирован или неисправен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выполнить необходимые операции по очистке</w:t>
            </w:r>
          </w:p>
        </w:tc>
      </w:tr>
      <w:tr w:rsidR="005123D5" w:rsidRPr="00AE5F22" w:rsidTr="005123D5">
        <w:trPr>
          <w:trHeight w:val="2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или заменить</w:t>
            </w:r>
          </w:p>
        </w:tc>
      </w:tr>
      <w:tr w:rsidR="005123D5" w:rsidRPr="00AE5F22" w:rsidTr="005123D5">
        <w:trPr>
          <w:trHeight w:val="2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сработал </w:t>
            </w:r>
            <w:proofErr w:type="spellStart"/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термовыключатель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подождать пока насос остынет и автоматически перезапустится</w:t>
            </w:r>
          </w:p>
        </w:tc>
      </w:tr>
      <w:tr w:rsidR="005123D5" w:rsidRPr="00AE5F22" w:rsidTr="005123D5">
        <w:trPr>
          <w:trHeight w:val="3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123D5" w:rsidRPr="00AE5F22" w:rsidTr="005123D5">
        <w:trPr>
          <w:trHeight w:val="3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ОСТАНОВ НАСОСА, СРАБОТАЛ АВТОМАТИЧЕСКИЙ ВЫКЛЮЧАТЕЛЬ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неверное значение напряжения или электропитания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проверить значение напряжения на </w:t>
            </w:r>
            <w:proofErr w:type="spellStart"/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шильдике</w:t>
            </w:r>
            <w:proofErr w:type="spellEnd"/>
          </w:p>
        </w:tc>
      </w:tr>
      <w:tr w:rsidR="005123D5" w:rsidRPr="00AE5F22" w:rsidTr="005123D5">
        <w:trPr>
          <w:trHeight w:val="2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ОТКЛЮЧЕНИЕ УСТРОЙСТВА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короткое замыкание, ток утечки на землю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выполнить проверку кабеля и двигателя</w:t>
            </w:r>
          </w:p>
        </w:tc>
      </w:tr>
      <w:tr w:rsidR="005123D5" w:rsidRPr="00AE5F22" w:rsidTr="005123D5">
        <w:trPr>
          <w:trHeight w:val="2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с привлечением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квалифицированного электрика</w:t>
            </w:r>
          </w:p>
        </w:tc>
      </w:tr>
      <w:tr w:rsidR="005123D5" w:rsidRPr="00AE5F22" w:rsidTr="005123D5">
        <w:trPr>
          <w:trHeight w:val="22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слишком высокая температура жидкости или жидкость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убедиться, что насос подходит </w:t>
            </w:r>
            <w:proofErr w:type="gramStart"/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для</w:t>
            </w:r>
            <w:proofErr w:type="gramEnd"/>
          </w:p>
        </w:tc>
      </w:tr>
      <w:tr w:rsidR="005123D5" w:rsidRPr="00AE5F22" w:rsidTr="005123D5">
        <w:trPr>
          <w:trHeight w:val="1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слишком плотная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использования в выбранной среде</w:t>
            </w:r>
          </w:p>
        </w:tc>
      </w:tr>
      <w:tr w:rsidR="005123D5" w:rsidRPr="00AE5F22" w:rsidTr="005123D5">
        <w:trPr>
          <w:trHeight w:val="22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насос работает всухую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проверить уровень жидкости в колодце и</w:t>
            </w:r>
          </w:p>
        </w:tc>
      </w:tr>
      <w:tr w:rsidR="005123D5" w:rsidRPr="00AE5F22" w:rsidTr="005123D5">
        <w:trPr>
          <w:trHeight w:val="1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исправность поплавкового переключателя</w:t>
            </w:r>
          </w:p>
        </w:tc>
      </w:tr>
      <w:tr w:rsidR="005123D5" w:rsidRPr="00AE5F22" w:rsidTr="005123D5">
        <w:trPr>
          <w:trHeight w:val="3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поплавковый переключатель покрыт накипью или неисправен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очистить или обратиться в сервисный центр</w:t>
            </w:r>
          </w:p>
        </w:tc>
      </w:tr>
      <w:tr w:rsidR="005123D5" w:rsidRPr="00AE5F22" w:rsidTr="005123D5">
        <w:trPr>
          <w:trHeight w:val="33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НЕДОСТАТОЧНЫЙ РАСХОД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всасывающий или подающий трубопроводы забиты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выполнить необходимые операции по очистке</w:t>
            </w:r>
          </w:p>
        </w:tc>
      </w:tr>
      <w:tr w:rsidR="005123D5" w:rsidRPr="00AE5F22" w:rsidTr="005123D5">
        <w:trPr>
          <w:trHeight w:val="1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или обратиться в сервисный центр</w:t>
            </w:r>
          </w:p>
        </w:tc>
      </w:tr>
      <w:tr w:rsidR="005123D5" w:rsidRPr="00AE5F22" w:rsidTr="005123D5">
        <w:trPr>
          <w:trHeight w:val="22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повышенная высота подачи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заменить модель насоса </w:t>
            </w:r>
            <w:proofErr w:type="gramStart"/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на</w:t>
            </w:r>
            <w:proofErr w:type="gramEnd"/>
          </w:p>
        </w:tc>
      </w:tr>
      <w:tr w:rsidR="005123D5" w:rsidRPr="00AE5F22" w:rsidTr="005123D5">
        <w:trPr>
          <w:trHeight w:val="1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более подходящую модель под выбранные условия эксплуатации</w:t>
            </w:r>
          </w:p>
        </w:tc>
      </w:tr>
      <w:tr w:rsidR="005123D5" w:rsidRPr="00AE5F22" w:rsidTr="005123D5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рабочее колесо изношено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123D5" w:rsidRPr="00AE5F22" w:rsidRDefault="005123D5" w:rsidP="00AE5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E5F22">
              <w:rPr>
                <w:rFonts w:ascii="Times New Roman" w:hAnsi="Times New Roman"/>
                <w:color w:val="000000"/>
                <w:sz w:val="18"/>
                <w:szCs w:val="18"/>
              </w:rPr>
              <w:t>- обратиться в сервисный центр</w:t>
            </w:r>
          </w:p>
        </w:tc>
      </w:tr>
    </w:tbl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5123D5" w:rsidRPr="00AE5F22" w:rsidRDefault="005123D5" w:rsidP="00AE5F2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5123D5" w:rsidRPr="00AE5F22" w:rsidSect="00AE5F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273C"/>
    <w:rsid w:val="000B648F"/>
    <w:rsid w:val="0015090C"/>
    <w:rsid w:val="00262B1A"/>
    <w:rsid w:val="00302889"/>
    <w:rsid w:val="00302C84"/>
    <w:rsid w:val="00394D41"/>
    <w:rsid w:val="003D27CD"/>
    <w:rsid w:val="00414DE9"/>
    <w:rsid w:val="004174BA"/>
    <w:rsid w:val="00501597"/>
    <w:rsid w:val="005123D5"/>
    <w:rsid w:val="005430C8"/>
    <w:rsid w:val="005A45A0"/>
    <w:rsid w:val="006A7F5E"/>
    <w:rsid w:val="00705BBC"/>
    <w:rsid w:val="007322EC"/>
    <w:rsid w:val="0089330B"/>
    <w:rsid w:val="009A0BEB"/>
    <w:rsid w:val="00AA6E86"/>
    <w:rsid w:val="00AE5F22"/>
    <w:rsid w:val="00BF3A47"/>
    <w:rsid w:val="00D07434"/>
    <w:rsid w:val="00D2273C"/>
    <w:rsid w:val="00F77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0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2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273C"/>
    <w:rPr>
      <w:rFonts w:ascii="Tahoma" w:hAnsi="Tahoma" w:cs="Tahoma"/>
      <w:sz w:val="16"/>
      <w:szCs w:val="16"/>
    </w:rPr>
  </w:style>
  <w:style w:type="character" w:customStyle="1" w:styleId="FontStyle72">
    <w:name w:val="Font Style72"/>
    <w:basedOn w:val="a0"/>
    <w:uiPriority w:val="99"/>
    <w:rsid w:val="00D2273C"/>
    <w:rPr>
      <w:rFonts w:ascii="Microsoft Sans Serif" w:hAnsi="Microsoft Sans Serif" w:cs="Microsoft Sans Serif"/>
      <w:b/>
      <w:bCs/>
      <w:spacing w:val="-10"/>
      <w:sz w:val="38"/>
      <w:szCs w:val="38"/>
    </w:rPr>
  </w:style>
  <w:style w:type="character" w:customStyle="1" w:styleId="FontStyle74">
    <w:name w:val="Font Style74"/>
    <w:basedOn w:val="a0"/>
    <w:uiPriority w:val="99"/>
    <w:rsid w:val="00D2273C"/>
    <w:rPr>
      <w:rFonts w:ascii="Microsoft Sans Serif" w:hAnsi="Microsoft Sans Serif" w:cs="Microsoft Sans Serif"/>
      <w:b/>
      <w:bCs/>
      <w:spacing w:val="-10"/>
      <w:sz w:val="42"/>
      <w:szCs w:val="42"/>
    </w:rPr>
  </w:style>
  <w:style w:type="paragraph" w:customStyle="1" w:styleId="Style4">
    <w:name w:val="Style4"/>
    <w:basedOn w:val="a"/>
    <w:uiPriority w:val="99"/>
    <w:rsid w:val="00D2273C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Theme="minorEastAsia" w:hAnsi="Microsoft Sans Serif" w:cs="Microsoft Sans Serif"/>
      <w:sz w:val="24"/>
      <w:szCs w:val="24"/>
    </w:rPr>
  </w:style>
  <w:style w:type="paragraph" w:customStyle="1" w:styleId="Style5">
    <w:name w:val="Style5"/>
    <w:basedOn w:val="a"/>
    <w:uiPriority w:val="99"/>
    <w:rsid w:val="00D2273C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Theme="minorEastAsia" w:hAnsi="Microsoft Sans Serif" w:cs="Microsoft Sans Serif"/>
      <w:sz w:val="24"/>
      <w:szCs w:val="24"/>
    </w:rPr>
  </w:style>
  <w:style w:type="character" w:customStyle="1" w:styleId="FontStyle111">
    <w:name w:val="Font Style111"/>
    <w:basedOn w:val="a0"/>
    <w:uiPriority w:val="99"/>
    <w:rsid w:val="00D2273C"/>
    <w:rPr>
      <w:rFonts w:ascii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D2273C"/>
    <w:rPr>
      <w:color w:val="0066CC"/>
      <w:u w:val="single"/>
    </w:rPr>
  </w:style>
  <w:style w:type="character" w:customStyle="1" w:styleId="FontStyle75">
    <w:name w:val="Font Style75"/>
    <w:basedOn w:val="a0"/>
    <w:uiPriority w:val="99"/>
    <w:rsid w:val="00D2273C"/>
    <w:rPr>
      <w:rFonts w:ascii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150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15090C"/>
    <w:pPr>
      <w:widowControl w:val="0"/>
      <w:autoSpaceDE w:val="0"/>
      <w:autoSpaceDN w:val="0"/>
      <w:adjustRightInd w:val="0"/>
      <w:spacing w:after="0" w:line="168" w:lineRule="exact"/>
      <w:ind w:firstLine="278"/>
    </w:pPr>
    <w:rPr>
      <w:rFonts w:ascii="Microsoft Sans Serif" w:eastAsiaTheme="minorEastAsia" w:hAnsi="Microsoft Sans Serif" w:cs="Microsoft Sans Serif"/>
      <w:sz w:val="24"/>
      <w:szCs w:val="24"/>
    </w:rPr>
  </w:style>
  <w:style w:type="paragraph" w:customStyle="1" w:styleId="Style12">
    <w:name w:val="Style12"/>
    <w:basedOn w:val="a"/>
    <w:uiPriority w:val="99"/>
    <w:rsid w:val="0015090C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Theme="minorEastAsia" w:hAnsi="Microsoft Sans Serif" w:cs="Microsoft Sans Serif"/>
      <w:sz w:val="24"/>
      <w:szCs w:val="24"/>
    </w:rPr>
  </w:style>
  <w:style w:type="paragraph" w:customStyle="1" w:styleId="Style31">
    <w:name w:val="Style31"/>
    <w:basedOn w:val="a"/>
    <w:uiPriority w:val="99"/>
    <w:rsid w:val="0015090C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Theme="minorEastAsia" w:hAnsi="Microsoft Sans Serif" w:cs="Microsoft Sans Serif"/>
      <w:sz w:val="24"/>
      <w:szCs w:val="24"/>
    </w:rPr>
  </w:style>
  <w:style w:type="paragraph" w:customStyle="1" w:styleId="Style34">
    <w:name w:val="Style34"/>
    <w:basedOn w:val="a"/>
    <w:uiPriority w:val="99"/>
    <w:rsid w:val="0015090C"/>
    <w:pPr>
      <w:widowControl w:val="0"/>
      <w:autoSpaceDE w:val="0"/>
      <w:autoSpaceDN w:val="0"/>
      <w:adjustRightInd w:val="0"/>
      <w:spacing w:after="0" w:line="168" w:lineRule="exact"/>
      <w:jc w:val="center"/>
    </w:pPr>
    <w:rPr>
      <w:rFonts w:ascii="Microsoft Sans Serif" w:eastAsiaTheme="minorEastAsia" w:hAnsi="Microsoft Sans Serif" w:cs="Microsoft Sans Serif"/>
      <w:sz w:val="24"/>
      <w:szCs w:val="24"/>
    </w:rPr>
  </w:style>
  <w:style w:type="character" w:customStyle="1" w:styleId="FontStyle78">
    <w:name w:val="Font Style78"/>
    <w:basedOn w:val="a0"/>
    <w:uiPriority w:val="99"/>
    <w:rsid w:val="0015090C"/>
    <w:rPr>
      <w:rFonts w:ascii="Times New Roman" w:hAnsi="Times New Roman" w:cs="Times New Roman"/>
      <w:sz w:val="104"/>
      <w:szCs w:val="104"/>
    </w:rPr>
  </w:style>
  <w:style w:type="character" w:customStyle="1" w:styleId="FontStyle79">
    <w:name w:val="Font Style79"/>
    <w:basedOn w:val="a0"/>
    <w:uiPriority w:val="99"/>
    <w:rsid w:val="0015090C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80">
    <w:name w:val="Font Style80"/>
    <w:basedOn w:val="a0"/>
    <w:uiPriority w:val="99"/>
    <w:rsid w:val="0015090C"/>
    <w:rPr>
      <w:rFonts w:ascii="Microsoft Sans Serif" w:hAnsi="Microsoft Sans Serif" w:cs="Microsoft Sans Serif"/>
      <w:b/>
      <w:bCs/>
      <w:sz w:val="14"/>
      <w:szCs w:val="14"/>
    </w:rPr>
  </w:style>
  <w:style w:type="paragraph" w:customStyle="1" w:styleId="Style30">
    <w:name w:val="Style30"/>
    <w:basedOn w:val="a"/>
    <w:uiPriority w:val="99"/>
    <w:rsid w:val="0015090C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Theme="minorEastAsia" w:hAnsi="Microsoft Sans Serif" w:cs="Microsoft Sans Serif"/>
      <w:sz w:val="24"/>
      <w:szCs w:val="24"/>
    </w:rPr>
  </w:style>
  <w:style w:type="character" w:customStyle="1" w:styleId="FontStyle83">
    <w:name w:val="Font Style83"/>
    <w:basedOn w:val="a0"/>
    <w:uiPriority w:val="99"/>
    <w:rsid w:val="0015090C"/>
    <w:rPr>
      <w:rFonts w:ascii="SimHei" w:eastAsia="SimHei" w:cs="SimHei"/>
      <w:sz w:val="148"/>
      <w:szCs w:val="1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5.bin"/><Relationship Id="rId18" Type="http://schemas.openxmlformats.org/officeDocument/2006/relationships/image" Target="media/image7.png"/><Relationship Id="rId26" Type="http://schemas.openxmlformats.org/officeDocument/2006/relationships/oleObject" Target="embeddings/oleObject15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1.bin"/><Relationship Id="rId34" Type="http://schemas.openxmlformats.org/officeDocument/2006/relationships/oleObject" Target="embeddings/oleObject22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4.bin"/><Relationship Id="rId33" Type="http://schemas.openxmlformats.org/officeDocument/2006/relationships/oleObject" Target="embeddings/oleObject21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0.bin"/><Relationship Id="rId29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3.bin"/><Relationship Id="rId32" Type="http://schemas.openxmlformats.org/officeDocument/2006/relationships/oleObject" Target="embeddings/oleObject20.bin"/><Relationship Id="rId5" Type="http://schemas.openxmlformats.org/officeDocument/2006/relationships/image" Target="media/image2.png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7.bin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oleObject" Target="embeddings/oleObject9.bin"/><Relationship Id="rId31" Type="http://schemas.openxmlformats.org/officeDocument/2006/relationships/oleObject" Target="embeddings/oleObject19.bin"/><Relationship Id="rId4" Type="http://schemas.openxmlformats.org/officeDocument/2006/relationships/image" Target="media/image1.jpeg"/><Relationship Id="rId9" Type="http://schemas.openxmlformats.org/officeDocument/2006/relationships/oleObject" Target="embeddings/oleObject2.bin"/><Relationship Id="rId14" Type="http://schemas.openxmlformats.org/officeDocument/2006/relationships/image" Target="media/image6.png"/><Relationship Id="rId22" Type="http://schemas.openxmlformats.org/officeDocument/2006/relationships/image" Target="media/image8.png"/><Relationship Id="rId27" Type="http://schemas.openxmlformats.org/officeDocument/2006/relationships/oleObject" Target="embeddings/oleObject16.bin"/><Relationship Id="rId30" Type="http://schemas.openxmlformats.org/officeDocument/2006/relationships/oleObject" Target="embeddings/oleObject18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2080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dcterms:created xsi:type="dcterms:W3CDTF">2015-02-16T09:48:00Z</dcterms:created>
  <dcterms:modified xsi:type="dcterms:W3CDTF">2015-05-28T15:03:00Z</dcterms:modified>
</cp:coreProperties>
</file>